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INTRODUCTION</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is a trailblazer in the realms of company culture and remote work. With a remarkable</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track record as a former CEO overseeing thousands of individuals, Chris has consistently led</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organizations that were recognized as the best places to work. His leadership prowess has earned his company the prestigious title of the fastest-growing company by Inc Magazine not once, but five times.</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Inc Magazine has further acknowledged Chris as the #1 Leadership Speaker on Culture, underlining his profound impact in the field. As a consultant and speaker, Chris draws from his vast experience, sharing insights that have been captured in his bestselling books, "The Power of Company Culture" and "Remote Work." Recognized as #5 on the Leadership Power List and a Top 50 Voice in Leadership, Chris stands as a thought leader, a change management guru, and a global influencer shaping the future of work. He is also a member of the Forbes Business Council and the Fast Company Executive Board.</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You’ll soon find out that his keynote addresses are not just presentations; they are transformative experiences. With a straightforward delivery, insightful candor, and engaging humor, Chris inspires audiences to reimagine leadership, enhance company culture, and navigate the evolving landscape of remote work. Companies worldwide have witnessed unprecedented success by embracing Chris's 7 Pillar Strategy, unlocking productivity, performance, and profits.</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Get ready to be inspired and transformed as we delve into innovative perspectives on leadership with the one and only Chris Dyer!</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Hcq0lksbQPBtLH49sUVaqJt6KQ==">CgMxLjA4AHIhMURTckpqOU1DODUxdXNXdzY2NndlWFUtNWxEVjI3S1Fm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